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34" w:rsidRDefault="00881734" w:rsidP="00881734">
      <w:pPr>
        <w:tabs>
          <w:tab w:val="left" w:pos="6020"/>
        </w:tabs>
        <w:rPr>
          <w:rFonts w:hint="eastAsia"/>
          <w:sz w:val="28"/>
          <w:szCs w:val="28"/>
        </w:rPr>
      </w:pPr>
      <w:r>
        <w:rPr>
          <w:rFonts w:hint="eastAsia"/>
          <w:sz w:val="28"/>
          <w:szCs w:val="28"/>
        </w:rPr>
        <w:t>附件</w:t>
      </w:r>
      <w:r>
        <w:rPr>
          <w:rFonts w:hint="eastAsia"/>
          <w:sz w:val="28"/>
          <w:szCs w:val="28"/>
        </w:rPr>
        <w:t>1</w:t>
      </w:r>
      <w:r>
        <w:rPr>
          <w:rFonts w:hint="eastAsia"/>
          <w:sz w:val="28"/>
          <w:szCs w:val="28"/>
        </w:rPr>
        <w:t>：</w:t>
      </w:r>
      <w:r>
        <w:rPr>
          <w:rFonts w:hint="eastAsia"/>
          <w:sz w:val="28"/>
          <w:szCs w:val="28"/>
        </w:rPr>
        <w:t xml:space="preserve"> </w:t>
      </w:r>
    </w:p>
    <w:p w:rsidR="00881734" w:rsidRDefault="00881734" w:rsidP="00881734">
      <w:pPr>
        <w:ind w:firstLineChars="49" w:firstLine="161"/>
        <w:jc w:val="center"/>
        <w:rPr>
          <w:rFonts w:hint="eastAsia"/>
          <w:b/>
          <w:w w:val="90"/>
          <w:sz w:val="36"/>
          <w:szCs w:val="36"/>
        </w:rPr>
      </w:pPr>
      <w:r>
        <w:rPr>
          <w:rFonts w:hint="eastAsia"/>
          <w:b/>
          <w:w w:val="90"/>
          <w:sz w:val="36"/>
          <w:szCs w:val="36"/>
        </w:rPr>
        <w:t>东北大学研究生教育科研计划立项指南</w:t>
      </w:r>
    </w:p>
    <w:p w:rsidR="00881734" w:rsidRDefault="00881734" w:rsidP="00881734">
      <w:pPr>
        <w:rPr>
          <w:rFonts w:hint="eastAsia"/>
        </w:rPr>
      </w:pP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为了进一步研究、探索我校学位与研究生教育的现状和发展规律，培养高层次、高质量的人才，我校将继续启动《东北大学研究生教育科研计划立项》。本次立项主要分为以下三方面内容：研究生课程建设立项；研究生教材建设立项；研究生教育研究立项。</w:t>
      </w:r>
    </w:p>
    <w:p w:rsidR="00881734" w:rsidRDefault="00881734" w:rsidP="00881734">
      <w:pPr>
        <w:ind w:firstLineChars="249" w:firstLine="725"/>
        <w:rPr>
          <w:rFonts w:ascii="仿宋" w:eastAsia="仿宋" w:hAnsi="仿宋" w:hint="eastAsia"/>
          <w:b/>
          <w:w w:val="90"/>
          <w:sz w:val="32"/>
          <w:szCs w:val="32"/>
        </w:rPr>
      </w:pPr>
      <w:r>
        <w:rPr>
          <w:rFonts w:ascii="仿宋" w:eastAsia="仿宋" w:hAnsi="仿宋" w:hint="eastAsia"/>
          <w:b/>
          <w:w w:val="90"/>
          <w:sz w:val="32"/>
          <w:szCs w:val="32"/>
        </w:rPr>
        <w:t>一、研究生课程建设立项</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1、立项的指导思想</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课程学习是研究生培养的主要环节之一。研究生课程学习不仅是传承知识、拓宽基础的重要途径，也是培养研究生创新能力的重要手段，是研究生论文和科研工作的前提和基础。通过课程建设立项，进一步推进研究生课程建设，培育研究生的名牌课程和精品课程，提高研究生的培养质量。</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2、立项的申请条件和要求</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1）资助范围：课程建设基础好、教学与学术水平高、覆盖面较宽的研究生公共课、专业基础课和主干课；反映学科重要前沿领域的研究生新课，具有跨学科与交叉学科性质的研究生新课。申请立项的课程必须是研究生培养方案中规定的学位必修课程。本次立项原则上仅资助硕士研究生课程（博士研究生外语和政治课除外）。</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lastRenderedPageBreak/>
        <w:t>（2）优先资助：学科建设好、国内外学术影响较大、研究生数量多、生源充足的学科；具有前沿性、先进性、有发展前途的新兴学科；有创新性改革的研究生平台课。</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（3）主讲教师：一般应有副教授以上的职称，教学效果好。</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4）课程内容：课程应具有高水平的教学大纲，重点突出，层次分明，具有前沿性、应用性和针对性，应能运用多媒体教学，适应网络化教学条件，相关的教学大纲、教案、习题、实验指导、参考文献目录等能上网并可对校内免费开放，体现我校研究型大学的特点和研究生教育的改革趋势，有利于培养研究生的综合素质和创新性思维。</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3、立项的申请、建设周期、经费、应取得的成果</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（1）申请人需填写《东北大学研究生课程建设立项申请书》，每位申请人一次只能申报一个课题。</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（2）研究生院每年原则上资助5—10项课程建设项目，鼓励所在学院和研究生院共同资助，研究生院对每门课程资助经费原则上为2万元，有条件的学院和个人可以追加配套经费。项目建设周期一般不超过二年。</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3）课程建设立项结题后，课程的教学质量应有显著提高，采用先进的教学方式和理念，学生选课人数逐年增加，学生对课程学习的效果反映良好，在各种教学课件检查和评比中成绩优良，成为名牌课程、精品课程。</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（4）研究生院负责检查项目申请人承担项目的完成情况，</w:t>
      </w:r>
      <w:r>
        <w:rPr>
          <w:rFonts w:ascii="仿宋" w:eastAsia="仿宋" w:hAnsi="仿宋" w:hint="eastAsia"/>
          <w:sz w:val="32"/>
          <w:szCs w:val="32"/>
        </w:rPr>
        <w:lastRenderedPageBreak/>
        <w:t>并据此对后继经费分别采取继续资助、暂停或终止资助。</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5）如果在规定的项目完成期到期后一月内，研究生院尚未收到项目申请人的任何书面申请或说明，研究生院可从项目申请人资助资金中扣还违约项目已领取的资助经费，并终止对项目申请人的资助以及取消项目申请人继续参加东北大学研究生教育科研计划研究生课程建设立项的申请资格。</w:t>
      </w:r>
    </w:p>
    <w:p w:rsidR="00881734" w:rsidRDefault="00881734" w:rsidP="00881734">
      <w:pPr>
        <w:ind w:firstLineChars="299" w:firstLine="871"/>
        <w:rPr>
          <w:rFonts w:ascii="仿宋" w:eastAsia="仿宋" w:hAnsi="仿宋" w:hint="eastAsia"/>
          <w:b/>
          <w:w w:val="90"/>
          <w:sz w:val="32"/>
          <w:szCs w:val="32"/>
        </w:rPr>
      </w:pPr>
      <w:r>
        <w:rPr>
          <w:rFonts w:ascii="仿宋" w:eastAsia="仿宋" w:hAnsi="仿宋" w:hint="eastAsia"/>
          <w:b/>
          <w:w w:val="90"/>
          <w:sz w:val="32"/>
          <w:szCs w:val="32"/>
        </w:rPr>
        <w:t>二、研究生教材建设立项</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1、立项的指导思想</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教材是课程的主要载体，是教师课堂教学和学生学习的主要工具，教材质量直接影响研究生的教学质量。通过研究生教材建设的立项，培育研究生的精品教材，改革研究生教学内容和教学方法，跟踪世界科学研究发展的动向，提高研究生的培养质量。</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2、立项的申请条件和要求</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（1）申请立项的教材必须是我校研究生培养方案中规定课程所用的教材。本次立项原则上仅资助硕士研究生用教材（博士研究生外语和政治课用教材除外）。</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（2）申请立项的教材应适应高层次专门人才培养的需要，符合研究生的培养目标，适合研究生教学与学习方式的不同特点和要求。</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（3）教材应体现学科前沿和最新研究成果，反映本学科的新理论、新技术、新方法和新体系，在国内同类教材中较为先进。</w:t>
      </w:r>
    </w:p>
    <w:p w:rsidR="00881734" w:rsidRDefault="00881734" w:rsidP="00881734">
      <w:pPr>
        <w:ind w:firstLineChars="250" w:firstLine="800"/>
        <w:rPr>
          <w:rFonts w:ascii="仿宋" w:eastAsia="仿宋" w:hAnsi="仿宋" w:hint="eastAsia"/>
          <w:sz w:val="32"/>
          <w:szCs w:val="32"/>
        </w:rPr>
      </w:pPr>
      <w:r>
        <w:rPr>
          <w:rFonts w:ascii="仿宋" w:eastAsia="仿宋" w:hAnsi="仿宋" w:hint="eastAsia"/>
          <w:sz w:val="32"/>
          <w:szCs w:val="32"/>
        </w:rPr>
        <w:t>(4)申报的教材原则上必须经过一轮以上的研究生教学实</w:t>
      </w:r>
      <w:r>
        <w:rPr>
          <w:rFonts w:ascii="仿宋" w:eastAsia="仿宋" w:hAnsi="仿宋" w:hint="eastAsia"/>
          <w:sz w:val="32"/>
          <w:szCs w:val="32"/>
        </w:rPr>
        <w:lastRenderedPageBreak/>
        <w:t>践，遵循培养方案和教学大纲的基本要求，取得良好的教学效果。</w:t>
      </w:r>
    </w:p>
    <w:p w:rsidR="00881734" w:rsidRDefault="00881734" w:rsidP="00881734">
      <w:pPr>
        <w:ind w:firstLineChars="255" w:firstLine="816"/>
        <w:rPr>
          <w:rFonts w:ascii="仿宋" w:eastAsia="仿宋" w:hAnsi="仿宋" w:hint="eastAsia"/>
          <w:sz w:val="32"/>
          <w:szCs w:val="32"/>
        </w:rPr>
      </w:pPr>
      <w:r>
        <w:rPr>
          <w:rFonts w:ascii="仿宋" w:eastAsia="仿宋" w:hAnsi="仿宋" w:hint="eastAsia"/>
          <w:sz w:val="32"/>
          <w:szCs w:val="32"/>
        </w:rPr>
        <w:t>(5)教材主编一般应具有教授职称，有较高的学术水平和丰富的教学经验，正在从事本门课程的教学工作。鼓励有丰富经验的教师和青年教师合作编写适应教材改革发展需要的教材，以保持教材的延续性。对曾获得国家、省部级教学成果奖的主要获奖人及入选“全国研究生教学用书”、“全国工程硕士专业学位教育指导委员会推荐教材”等教材的编者，予以优先重点支持。以前获得过教材建设资助但没有结题的本次不得申报。</w:t>
      </w:r>
    </w:p>
    <w:p w:rsidR="00881734" w:rsidRDefault="00881734" w:rsidP="00881734">
      <w:pPr>
        <w:ind w:firstLineChars="255" w:firstLine="816"/>
        <w:rPr>
          <w:rFonts w:ascii="仿宋" w:eastAsia="仿宋" w:hAnsi="仿宋" w:hint="eastAsia"/>
          <w:sz w:val="32"/>
          <w:szCs w:val="32"/>
        </w:rPr>
      </w:pPr>
      <w:r>
        <w:rPr>
          <w:rFonts w:ascii="仿宋" w:eastAsia="仿宋" w:hAnsi="仿宋" w:hint="eastAsia"/>
          <w:sz w:val="32"/>
          <w:szCs w:val="32"/>
        </w:rPr>
        <w:t>(6)学校将重点建设和资助能够充分反映我校学科优势和特色的高水平教材和那些教学改革力度较大、在内容和体系上有明显特色的教材以及与之配套的系列教材，重点资助选课人数多教学急需的教材。</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3、立项的申请、建设周期、经费和验收</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(1)申请人需填写《东北大学研究生教材建设立项申请书》，每位申请人一次只能提出一项申请。</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(2)研究生院每年资助10项教材建设立项，鼓励所在学院和研究生院共同资助。研究生院对每项立项资助2万元，有条件的学院和个人可以追加配套经费。建设周期一般不超过二年。</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(3)资助建设的教材应在一年内完成初稿，项目实施一年后进行中期检查，对项目的进展状况做出评估，并根据评估结果，调整项目的实施计划及资助情况。教材编写工作的最终成果验收合格后，按照编者与出版社签定的出版合同规定出版教材。作为</w:t>
      </w:r>
      <w:r>
        <w:rPr>
          <w:rFonts w:ascii="仿宋" w:eastAsia="仿宋" w:hAnsi="仿宋" w:hint="eastAsia"/>
          <w:sz w:val="32"/>
          <w:szCs w:val="32"/>
        </w:rPr>
        <w:lastRenderedPageBreak/>
        <w:t>教材立项的成果，正式出版的教材须在教材的左上角以四号加粗宋体字统一标注“东北大学研究生教材建设项目资助教材”。</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(4）如果在规定的项目完成期到期后一月内，甲方尚未收到乙方的任何书面申请或说明，甲方可终止对乙方的资助以及取消乙方继续参加东北大学研究生教育科研计划教材建设立项的申请资格。</w:t>
      </w:r>
    </w:p>
    <w:p w:rsidR="00881734" w:rsidRDefault="00881734" w:rsidP="00881734">
      <w:pPr>
        <w:ind w:firstLineChars="299" w:firstLine="871"/>
        <w:rPr>
          <w:rFonts w:ascii="仿宋" w:eastAsia="仿宋" w:hAnsi="仿宋" w:hint="eastAsia"/>
          <w:b/>
          <w:w w:val="90"/>
          <w:sz w:val="32"/>
          <w:szCs w:val="32"/>
        </w:rPr>
      </w:pPr>
      <w:r>
        <w:rPr>
          <w:rFonts w:ascii="仿宋" w:eastAsia="仿宋" w:hAnsi="仿宋" w:hint="eastAsia"/>
          <w:b/>
          <w:w w:val="90"/>
          <w:sz w:val="32"/>
          <w:szCs w:val="32"/>
        </w:rPr>
        <w:t>三、研究生教育研究立项</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1、立项的指导思想</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随着研究生招生规模和类型的不断增加，研究生的教育研究工作愈加显得十分重要。通过开展研究生教育研究工作，进一步探讨在目前形势下，建立科学合理、优化的研究生培养与管理体系，促进先进的培养与管理方法和模式的形成，提高研究生的培养与管理质量，实现我校研究生规模、结构、质量的协调发展。</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2、立项的申请条件和指南</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(1)立项的主要负责人必须是具有高级职称的我校在职教师或正在从事研究生教育管理工作的行政人员。教师须有不少于3年的研究生指导或研究生教学经验，行政管理人员须有不少于3年的研究生教育管理经历。以前获得过该项资助但没有结题的本次不得申报。</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(2)立项的选题主要围绕“深化研究生教育体制改革，提高研究生的培养质量”这一主题，研究和探讨研究生的招生管理、研究生指导教师队伍的建设与管理、研究生的培养方案与课程设</w:t>
      </w:r>
      <w:r>
        <w:rPr>
          <w:rFonts w:ascii="仿宋" w:eastAsia="仿宋" w:hAnsi="仿宋" w:hint="eastAsia"/>
          <w:sz w:val="32"/>
          <w:szCs w:val="32"/>
        </w:rPr>
        <w:lastRenderedPageBreak/>
        <w:t>置、研究生教学与培养、研究生学位管理等，目的是探讨在新的形势下，如何启迪研究生的创新思维和创新能力，提高研究生的培养质量。</w:t>
      </w:r>
    </w:p>
    <w:p w:rsidR="00881734" w:rsidRDefault="00881734" w:rsidP="00881734">
      <w:pPr>
        <w:ind w:firstLineChars="250" w:firstLine="803"/>
        <w:rPr>
          <w:rFonts w:ascii="仿宋" w:eastAsia="仿宋" w:hAnsi="仿宋" w:hint="eastAsia"/>
          <w:b/>
          <w:sz w:val="32"/>
          <w:szCs w:val="32"/>
        </w:rPr>
      </w:pPr>
      <w:r>
        <w:rPr>
          <w:rFonts w:ascii="仿宋" w:eastAsia="仿宋" w:hAnsi="仿宋" w:hint="eastAsia"/>
          <w:b/>
          <w:sz w:val="32"/>
          <w:szCs w:val="32"/>
        </w:rPr>
        <w:t>3、立项的申请、周期、经费和验收</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(1)申请人需填写《东北大学研究生教育研究项目立项申请书》，每位申请人一次只能申报一个课题。</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(2)研究生院每年原则上资助5项教育研究项目，鼓励所在学院和研究生院共同资助。研究生院对每项教研立项资助1——3万元，有条件的学院和个人可以追加配套经费。项目建设周期一般不超过二年。对规模较大，开发周期比较长的项目可以分期申报、分期验收。</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(3)项目负责人须提供一份完整的调研报告和研究成果作为立项的成果。项目主要负责人在项目验收前必须在有关的核心期刊上发表与本研究项目有关的论文至少2篇，其中一篇必须发表在《学位与研究生教育》（国际标准刊号ISSN1001—960X）作为立项的成果。成果中应注明“东北大学学位与研究生教育教学研究立项资助项目”；或作为研究成果获得省部级以上的奖励；或其研究成果被研究生院采纳并应用到研究生培养工作中。围绕“深化研究生教育体制改革，提高研究生培养质量”这一主题，促进研究生培养质量的提高。</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(4)研究生院负责检查项目负责人承担项目的完成情况，并据此对后继经费分别采取继续资助、暂停或终止资助。立项完成</w:t>
      </w:r>
      <w:r>
        <w:rPr>
          <w:rFonts w:ascii="仿宋" w:eastAsia="仿宋" w:hAnsi="仿宋" w:hint="eastAsia"/>
          <w:sz w:val="32"/>
          <w:szCs w:val="32"/>
        </w:rPr>
        <w:lastRenderedPageBreak/>
        <w:t>后项目负责人向研究生院提供有关成果的原件及复印件（复印件由研究生院留存）。</w:t>
      </w:r>
    </w:p>
    <w:p w:rsidR="00881734" w:rsidRDefault="00881734" w:rsidP="00881734">
      <w:pPr>
        <w:ind w:firstLineChars="205" w:firstLine="656"/>
        <w:rPr>
          <w:rFonts w:ascii="仿宋" w:eastAsia="仿宋" w:hAnsi="仿宋" w:hint="eastAsia"/>
          <w:sz w:val="32"/>
          <w:szCs w:val="32"/>
        </w:rPr>
      </w:pPr>
      <w:r>
        <w:rPr>
          <w:rFonts w:ascii="仿宋" w:eastAsia="仿宋" w:hAnsi="仿宋" w:hint="eastAsia"/>
          <w:sz w:val="32"/>
          <w:szCs w:val="32"/>
        </w:rPr>
        <w:t>(5)如果在规定的项目完成期到期后一月内，研究生院尚未收到项目负责人的任何书面申请或说明，研究生院可从项目负责人资助资金中扣还违约项目已领取的资助经费，并终止对项目负责人的资助以及取消项目负责人继续参加东北大学研究生教育科研计划研究生教育研究立项的申请资格。</w:t>
      </w:r>
    </w:p>
    <w:p w:rsidR="00881734" w:rsidRDefault="00881734" w:rsidP="00881734">
      <w:pPr>
        <w:ind w:firstLineChars="205" w:firstLine="656"/>
        <w:rPr>
          <w:rFonts w:ascii="仿宋" w:eastAsia="仿宋" w:hAnsi="仿宋" w:hint="eastAsia"/>
          <w:sz w:val="32"/>
          <w:szCs w:val="32"/>
        </w:rPr>
      </w:pPr>
    </w:p>
    <w:p w:rsidR="00881734" w:rsidRDefault="00881734" w:rsidP="00881734">
      <w:pPr>
        <w:ind w:firstLineChars="200" w:firstLine="640"/>
        <w:rPr>
          <w:rFonts w:ascii="仿宋" w:eastAsia="仿宋" w:hAnsi="仿宋" w:hint="eastAsia"/>
          <w:sz w:val="32"/>
          <w:szCs w:val="32"/>
        </w:rPr>
      </w:pPr>
      <w:r>
        <w:rPr>
          <w:rFonts w:ascii="仿宋" w:eastAsia="仿宋" w:hAnsi="仿宋" w:hint="eastAsia"/>
          <w:sz w:val="32"/>
          <w:szCs w:val="32"/>
        </w:rPr>
        <w:t xml:space="preserve">以上三项研究生教育科研计划立项以学院为单位进行初评，初评合格后，报研究生院，研究生院将请有关专家进行评审，评审合格后准予立项。资助经费采取一次核定、分批拨付的方式。首批资助经费（资助金额的50%）在正式立项后拨付。各类资助项目实施一年后进行中期检查，对立项项目的进展状况做出评估，并根据评估结果，调整项目的实施计划及资助情况，中期检查验收合格后，拨付剩余的资助资金。验收不合格，必须按专家要求进行整改，对整改后仍不合格的项目负责人，三年内学校不再受理其任何研究生教育的资助项目。 </w:t>
      </w:r>
    </w:p>
    <w:p w:rsidR="00881734" w:rsidRDefault="00881734" w:rsidP="00881734">
      <w:pPr>
        <w:jc w:val="left"/>
        <w:rPr>
          <w:rFonts w:ascii="仿宋" w:eastAsia="仿宋" w:hAnsi="仿宋" w:hint="eastAsia"/>
          <w:sz w:val="32"/>
          <w:szCs w:val="32"/>
        </w:rPr>
      </w:pPr>
      <w:r>
        <w:rPr>
          <w:rFonts w:ascii="仿宋" w:eastAsia="仿宋" w:hAnsi="仿宋" w:hint="eastAsia"/>
          <w:sz w:val="32"/>
          <w:szCs w:val="32"/>
        </w:rPr>
        <w:t xml:space="preserve">                                  </w:t>
      </w:r>
    </w:p>
    <w:p w:rsidR="00881734" w:rsidRDefault="00881734" w:rsidP="00881734">
      <w:pPr>
        <w:jc w:val="left"/>
        <w:rPr>
          <w:rFonts w:ascii="仿宋" w:eastAsia="仿宋" w:hAnsi="仿宋" w:hint="eastAsia"/>
          <w:sz w:val="32"/>
          <w:szCs w:val="32"/>
        </w:rPr>
      </w:pPr>
    </w:p>
    <w:p w:rsidR="00881734" w:rsidRDefault="00881734" w:rsidP="00881734">
      <w:pPr>
        <w:jc w:val="left"/>
        <w:rPr>
          <w:rFonts w:ascii="仿宋" w:eastAsia="仿宋" w:hAnsi="仿宋" w:hint="eastAsia"/>
          <w:sz w:val="32"/>
          <w:szCs w:val="32"/>
        </w:rPr>
      </w:pPr>
    </w:p>
    <w:p w:rsidR="00881734" w:rsidRDefault="00881734" w:rsidP="00881734">
      <w:pPr>
        <w:jc w:val="left"/>
        <w:rPr>
          <w:rFonts w:ascii="仿宋" w:eastAsia="仿宋" w:hAnsi="仿宋" w:hint="eastAsia"/>
          <w:sz w:val="32"/>
          <w:szCs w:val="32"/>
        </w:rPr>
      </w:pPr>
    </w:p>
    <w:p w:rsidR="00881734" w:rsidRDefault="00881734" w:rsidP="00881734">
      <w:pPr>
        <w:jc w:val="left"/>
        <w:rPr>
          <w:rFonts w:ascii="仿宋" w:eastAsia="仿宋" w:hAnsi="仿宋" w:hint="eastAsia"/>
          <w:sz w:val="32"/>
          <w:szCs w:val="32"/>
        </w:rPr>
      </w:pPr>
    </w:p>
    <w:p w:rsidR="00881734" w:rsidRDefault="00881734" w:rsidP="00881734">
      <w:pPr>
        <w:jc w:val="left"/>
        <w:rPr>
          <w:rFonts w:ascii="仿宋" w:eastAsia="仿宋" w:hAnsi="仿宋" w:hint="eastAsia"/>
          <w:sz w:val="32"/>
          <w:szCs w:val="32"/>
        </w:rPr>
      </w:pPr>
      <w:r>
        <w:rPr>
          <w:rFonts w:ascii="黑体" w:eastAsia="黑体" w:hint="eastAsia"/>
          <w:b/>
          <w:sz w:val="28"/>
          <w:szCs w:val="28"/>
        </w:rPr>
        <w:lastRenderedPageBreak/>
        <w:t>附件3：</w:t>
      </w:r>
      <w:r>
        <w:rPr>
          <w:rFonts w:ascii="仿宋_GB2312" w:eastAsia="仿宋_GB2312" w:hint="eastAsia"/>
          <w:sz w:val="32"/>
          <w:szCs w:val="32"/>
        </w:rPr>
        <w:t>东北大学研究生教育科研计划立项项目中期检查名单</w:t>
      </w:r>
    </w:p>
    <w:tbl>
      <w:tblPr>
        <w:tblW w:w="103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5"/>
        <w:gridCol w:w="5104"/>
        <w:gridCol w:w="1135"/>
        <w:gridCol w:w="2666"/>
      </w:tblGrid>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jc w:val="center"/>
              <w:rPr>
                <w:rFonts w:ascii="宋体" w:hAnsi="宋体" w:cs="宋体"/>
                <w:b/>
                <w:color w:val="000000"/>
                <w:kern w:val="0"/>
                <w:sz w:val="30"/>
                <w:szCs w:val="30"/>
              </w:rPr>
            </w:pPr>
            <w:r>
              <w:pict>
                <v:shapetype id="_x0000_t202" coordsize="21600,21600" o:spt="202" path="m,l,21600r21600,l21600,xe">
                  <v:stroke joinstyle="miter"/>
                  <v:path gradientshapeok="t" o:connecttype="rect"/>
                </v:shapetype>
                <v:shape id="Text Box 8" o:spid="_x0000_s1026" type="#_x0000_t202" style="position:absolute;left:0;text-align:left;margin-left:21.45pt;margin-top:714.4pt;width:236.25pt;height:28.35pt;z-index:251660288;mso-position-vertical-relative:page" o:gfxdata="UEsDBAoAAAAAAIdO4kAAAAAAAAAAAAAAAAAEAAAAZHJzL1BLAwQUAAAACACHTuJAwJ4c0dkAAAAM&#10;AQAADwAAAGRycy9kb3ducmV2LnhtbE2PTU+EMBCG7yb+h2ZMvLktBDYsUjbG6MnEyOLBY6FdaJZO&#10;kXY//PfOnvQ47zx5P6rtxU3sZJZgPUpIVgKYwd5ri4OEz/b1oQAWokKtJo9Gwo8JsK1vbypVan/G&#10;xpx2cWBkgqFUEsYY55Lz0I/GqbDys0H67f3iVKRzGbhe1JnM3cRTIdbcKYuUMKrZPI+mP+yOTsLT&#10;FzYv9vu9+2j2jW3bjcC39UHK+7tEPAKL5hL/YLjWp+pQU6fOH1EHNknI0g2RpGdpQRuIyJM8A9Zd&#10;pSLPgdcV/z+i/gVQSwMEFAAAAAgAh07iQBZNNjziAQAAtwMAAA4AAABkcnMvZTJvRG9jLnhtbK1T&#10;wW7bMAy9D9g/CLovdpq1K4w4Rdeiw4BuHdDuA2hZjoXZokYpsbOvHyXHWbfdil4EmqIeHx+f11dj&#10;34m9Jm/QlnK5yKXQVmFt7LaU35/u3l1K4QPYGjq0upQH7eXV5u2b9eAKfYYtdrUmwSDWF4MrZRuC&#10;K7LMq1b34BfotOXLBqmHwJ+0zWqCgdH7LjvL84tsQKododLec/Z2upSbhN80WoWHpvE6iK6UzC2k&#10;k9JZxTPbrKHYErjWqCMNeAGLHozlpieoWwggdmT+g+qNIvTYhIXCPsOmMUqnGXiaZf7PNI8tOJ1m&#10;YXG8O8nkXw9Wfd1/I2Fq3h3LY6HnHT3pMYiPOIrLKM/gfMFVj47rwshpLk2jeneP6ocXFm9asFt9&#10;TYRDq6Fmesv4Mnv2dMLxEaQavmDNbWAXMAGNDfVRO1ZDMDrzOJxWE6koTq7yPF99OJdC8d3qIs/f&#10;n6cWUMyvHfnwSWMvYlBK4tUndNjf+xDZQDGXxGYW70zXpfV39q8EF8ZMYh8JT9TDWI1HNSqsDzwH&#10;4eQmdj8HLdIvKQZ2Uin9zx2QlqL7bFmLaLs5oDmo5gCs4qelDFJM4U2Y7LlzZLYtI09qW7xmvRqT&#10;RonCTiyOPNkdacKjk6P9nn+nqj//2+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J4c0dkAAAAM&#10;AQAADwAAAAAAAAABACAAAAAiAAAAZHJzL2Rvd25yZXYueG1sUEsBAhQAFAAAAAgAh07iQBZNNjzi&#10;AQAAtwMAAA4AAAAAAAAAAQAgAAAAKAEAAGRycy9lMm9Eb2MueG1sUEsFBgAAAAAGAAYAWQEAAHwF&#10;AAAAAA==&#10;" o:allowincell="f" filled="f" stroked="f">
                  <v:textbox style="mso-next-textbox:#Text Box 8" inset="0,0,0,0">
                    <w:txbxContent>
                      <w:p w:rsidR="00881734" w:rsidRDefault="00881734" w:rsidP="00881734">
                        <w:pPr>
                          <w:rPr>
                            <w:szCs w:val="28"/>
                          </w:rPr>
                        </w:pPr>
                      </w:p>
                    </w:txbxContent>
                  </v:textbox>
                  <w10:wrap type="topAndBottom" anchory="page"/>
                </v:shape>
              </w:pict>
            </w:r>
            <w:r>
              <w:pict>
                <v:shape id="Text Box 9" o:spid="_x0000_s1027" type="#_x0000_t202" style="position:absolute;left:0;text-align:left;margin-left:257.7pt;margin-top:714.4pt;width:173.35pt;height:28.35pt;z-index:251661312;mso-position-vertical-relative:page" o:gfxdata="UEsDBAoAAAAAAIdO4kAAAAAAAAAAAAAAAAAEAAAAZHJzL1BLAwQUAAAACACHTuJAnKCgadoAAAAN&#10;AQAADwAAAGRycy9kb3ducmV2LnhtbE2PzU7DMBCE70i8g7VI3KidqIlCiFMhBCckRBoOHJ3YTazG&#10;6xC7P7w92xM97syn2Zlqc3YTO5olWI8SkpUAZrD32uIg4at9eyiAhahQq8mjkfBrAmzq25tKldqf&#10;sDHHbRwYhWAolYQxxrnkPPSjcSqs/GyQvJ1fnIp0LgPXizpRuJt4KkTOnbJIH0Y1m5fR9PvtwUl4&#10;/sbm1f58dJ/NrrFt+yjwPd9LeX+XiCdg0ZzjPwyX+lQdaurU+QPqwCYJWZKtCSVjnRY0gpAiTxNg&#10;3UUqsgx4XfHrFfUfUEsDBBQAAAAIAIdO4kB0Rxvs4QEAALcDAAAOAAAAZHJzL2Uyb0RvYy54bWyt&#10;U9tu1DAQfUfiHyy/s8kutIJos1VpVYRULlLLB0wcJ7FIPGbs3WT5esbOZlvgDfFiTcbjM2fOnGyv&#10;pqEXB03eoC3lepVLoa3C2ti2lN8e7169lcIHsDX0aHUpj9rLq93LF9vRFXqDHfa1JsEg1hejK2UX&#10;giuyzKtOD+BX6LTlywZpgMCf1GY1wcjoQ59t8vwyG5FqR6i095y9nS/lLuE3jVbhS9N4HURfSuYW&#10;0knprOKZ7bZQtASuM+pEA/6BxQDGctMz1C0EEHsyf0ENRhF6bMJK4ZBh0xil0ww8zTr/Y5qHDpxO&#10;s7A43p1l8v8PVn0+fCVhat7dWgoLA+/oUU9BvMdJvIvyjM4XXPXguC5MnObSNKp396i+e2HxpgPb&#10;6msiHDsNNdNbx5fZs6czjo8g1fgJa24D+4AJaGpoiNqxGoLReU3H82oiFcXJDctz8eZCCsV3ry/z&#10;nOPYAorltSMfPmgcRAxKSbz6hA6Hex/m0qUkNrN4Z/qe81D09rcEY8ZMYh8Jz9TDVE1cHUeqsD7y&#10;HISzm9j9HHRIP6UY2Uml9D/2QFqK/qNlLaLtloCWoFoCsIqfljJIMYc3Ybbn3pFpO0ae1bZ4zXo1&#10;Jo3yxOLEk92RxDg5Odrv+Xeqevrfd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KCgadoAAAAN&#10;AQAADwAAAAAAAAABACAAAAAiAAAAZHJzL2Rvd25yZXYueG1sUEsBAhQAFAAAAAgAh07iQHRHG+zh&#10;AQAAtwMAAA4AAAAAAAAAAQAgAAAAKQEAAGRycy9lMm9Eb2MueG1sUEsFBgAAAAAGAAYAWQEAAHwF&#10;AAAAAA==&#10;" o:allowincell="f" filled="f" stroked="f">
                  <v:textbox style="mso-next-textbox:#Text Box 9" inset="0,0,0,0">
                    <w:txbxContent>
                      <w:p w:rsidR="00881734" w:rsidRDefault="00881734" w:rsidP="00881734">
                        <w:pPr>
                          <w:rPr>
                            <w:szCs w:val="28"/>
                          </w:rPr>
                        </w:pPr>
                      </w:p>
                    </w:txbxContent>
                  </v:textbox>
                  <w10:wrap type="topAndBottom" anchory="page"/>
                </v:shape>
              </w:pict>
            </w:r>
            <w:r>
              <w:rPr>
                <w:rFonts w:ascii="宋体" w:hAnsi="宋体" w:cs="宋体" w:hint="eastAsia"/>
                <w:b/>
                <w:color w:val="000000"/>
                <w:kern w:val="0"/>
                <w:sz w:val="30"/>
                <w:szCs w:val="30"/>
              </w:rPr>
              <w:t>项目类型</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课程名称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负责人</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中级计量经济学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韩  颖</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工商管理学院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奥林匹克运动</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孙玉宁</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体育部</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有色冶金实验研究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谢  锋</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冶金学院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面向对象的系统分析与设计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张  爽</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软件学院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马克思主义与社会科学方法论</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陈红兵</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马克思主义学院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跨文化交际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韩忠军</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外语学院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智能优化方法</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王洪峰</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信息科学与工程学院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双一流背景下研究生全英文专业课程建设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薛定宇</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信息科学与工程学院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博士英语科技论文阅读与写作课程的建设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王  悦</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基于OBE理念的“研究生英语科技</w:t>
            </w:r>
          </w:p>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论文写作”课程建设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段燕红</w:t>
            </w:r>
          </w:p>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刘  洋</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学术英语</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姜  蕾</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知识图谱技术及应用</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张  富</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计算机科学与工程学院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深化研究生教育体制、培养模式改革，</w:t>
            </w:r>
          </w:p>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提高研究生培养质量的探索</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王  平</w:t>
            </w:r>
          </w:p>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高  明</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材料学院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二级学院硕士研究生培养质量保障体系初探</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刘婉婷</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资土学院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教育+互联网产教融合人才培养模式研究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陈东明</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软件学院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理工科研究生人文素养提升研究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张晓红</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马克思主义学院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专业学位研究生教育质量保障体系建设研究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符  强</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研究生院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基于信息化建设的硕士全流程人才培养模式构建</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孙秋野</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信息科学与</w:t>
            </w:r>
          </w:p>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工程学院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基于平行语料库的东北大学MTI专业硕士语言</w:t>
            </w:r>
          </w:p>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服务能力培养研究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张  威</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高校研究生教育中科研反哺教学的研究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曹春红</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计算机科学与工程学院</w:t>
            </w:r>
          </w:p>
        </w:tc>
      </w:tr>
      <w:tr w:rsidR="00881734" w:rsidTr="003B6B28">
        <w:trPr>
          <w:trHeight w:val="397"/>
        </w:trPr>
        <w:tc>
          <w:tcPr>
            <w:tcW w:w="147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02"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东北大学硕士生导师指导质量评价研究</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周建民</w:t>
            </w:r>
          </w:p>
        </w:tc>
        <w:tc>
          <w:tcPr>
            <w:tcW w:w="2665" w:type="dxa"/>
            <w:tcBorders>
              <w:top w:val="single" w:sz="4" w:space="0" w:color="auto"/>
              <w:left w:val="single" w:sz="4" w:space="0" w:color="auto"/>
              <w:bottom w:val="single" w:sz="4" w:space="0" w:color="auto"/>
              <w:right w:val="single" w:sz="4" w:space="0" w:color="auto"/>
            </w:tcBorders>
            <w:vAlign w:val="center"/>
            <w:hideMark/>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文法学院</w:t>
            </w:r>
          </w:p>
        </w:tc>
      </w:tr>
    </w:tbl>
    <w:p w:rsidR="00881734" w:rsidRDefault="00881734" w:rsidP="00881734">
      <w:pPr>
        <w:jc w:val="left"/>
        <w:rPr>
          <w:rFonts w:ascii="仿宋" w:eastAsia="仿宋" w:hAnsi="仿宋" w:hint="eastAsia"/>
          <w:sz w:val="32"/>
          <w:szCs w:val="32"/>
        </w:rPr>
      </w:pPr>
    </w:p>
    <w:p w:rsidR="00881734" w:rsidRDefault="00881734" w:rsidP="00881734">
      <w:pPr>
        <w:jc w:val="left"/>
        <w:rPr>
          <w:rFonts w:ascii="仿宋" w:eastAsia="仿宋" w:hAnsi="仿宋" w:hint="eastAsia"/>
          <w:sz w:val="32"/>
          <w:szCs w:val="32"/>
        </w:rPr>
      </w:pPr>
    </w:p>
    <w:p w:rsidR="00881734" w:rsidRDefault="00881734" w:rsidP="00881734">
      <w:pPr>
        <w:jc w:val="left"/>
        <w:rPr>
          <w:rFonts w:ascii="仿宋" w:eastAsia="仿宋" w:hAnsi="仿宋" w:hint="eastAsia"/>
          <w:sz w:val="32"/>
          <w:szCs w:val="32"/>
        </w:rPr>
      </w:pPr>
    </w:p>
    <w:p w:rsidR="00881734" w:rsidRDefault="00881734" w:rsidP="00881734">
      <w:pPr>
        <w:rPr>
          <w:rFonts w:ascii="仿宋_GB2312" w:eastAsia="仿宋_GB2312" w:hint="eastAsia"/>
          <w:sz w:val="32"/>
          <w:szCs w:val="32"/>
        </w:rPr>
      </w:pPr>
      <w:r>
        <w:rPr>
          <w:rFonts w:ascii="黑体" w:eastAsia="黑体" w:hint="eastAsia"/>
          <w:b/>
          <w:sz w:val="28"/>
          <w:szCs w:val="28"/>
        </w:rPr>
        <w:lastRenderedPageBreak/>
        <w:t>附件4：</w:t>
      </w:r>
      <w:r>
        <w:rPr>
          <w:rFonts w:ascii="仿宋_GB2312" w:eastAsia="仿宋_GB2312" w:hint="eastAsia"/>
          <w:sz w:val="32"/>
          <w:szCs w:val="32"/>
        </w:rPr>
        <w:t>东北大学研究生教育科研计划立项项目结题检查名单</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6"/>
        <w:gridCol w:w="5181"/>
        <w:gridCol w:w="1131"/>
        <w:gridCol w:w="2662"/>
      </w:tblGrid>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项目类型</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课程名称</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负责人</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b/>
                <w:color w:val="000000"/>
                <w:kern w:val="0"/>
                <w:sz w:val="30"/>
                <w:szCs w:val="30"/>
              </w:rPr>
            </w:pPr>
            <w:r>
              <w:rPr>
                <w:rFonts w:ascii="宋体" w:hAnsi="宋体" w:cs="宋体" w:hint="eastAsia"/>
                <w:b/>
                <w:color w:val="000000"/>
                <w:kern w:val="0"/>
                <w:sz w:val="30"/>
                <w:szCs w:val="30"/>
              </w:rPr>
              <w:t>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基于通用学术英语（EGAP）的“国际学术交流英语”课程读写一体化建设</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李欣</w:t>
            </w:r>
          </w:p>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王婷</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学术道德与论文写作</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祖国胤</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材料科学与工程学院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研究生思想政治理论课一体化建设</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任鹏</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马克思主义学院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基于美国大学Academic Writing课堂实践的英语论文写作课程建设</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商国印</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管理心理学</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贾建锋</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工商管理学院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面向自动驾驶的车载通信关键技术</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毕远国</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计算机学院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现代机械工程自动控制</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罗忠</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机械工程与自动化学院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课程建设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能量系统的热力学分析方法</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董辉</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冶金学院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研究生英语报刊阅读教程</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韩忠军</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先进制造加工技术</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邹平</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机械学院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电子政务理论与前沿</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陈德权</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文法学院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现代设施规划与物流分析</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戢守峰</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工商管理学院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网络与分布式算法</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张锡哲</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计算机学院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color w:val="000000"/>
                <w:kern w:val="0"/>
                <w:sz w:val="24"/>
                <w:szCs w:val="24"/>
              </w:rPr>
              <w:t>UG</w:t>
            </w:r>
            <w:r>
              <w:rPr>
                <w:rFonts w:ascii="宋体" w:hAnsi="宋体" w:cs="宋体" w:hint="eastAsia"/>
                <w:color w:val="000000"/>
                <w:kern w:val="0"/>
                <w:sz w:val="24"/>
                <w:szCs w:val="24"/>
              </w:rPr>
              <w:t>二次开发实用教程</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孔祥伟</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机械学院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大数据分析与R语言</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宋杰</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软件学院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分数阶系统</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张雪峰</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理学院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教材建设</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防爆学 原理</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苑春苗</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资源与土木工程学院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公共管理研究生学术研究能力培养策略研究</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司晓悦</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文法学院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“一带一路”战略下东北大学研究生外语能力现状与发展研究</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王勃然</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外国语学院</w:t>
            </w:r>
          </w:p>
        </w:tc>
      </w:tr>
      <w:tr w:rsidR="00881734" w:rsidTr="003B6B28">
        <w:trPr>
          <w:trHeight w:val="457"/>
        </w:trPr>
        <w:tc>
          <w:tcPr>
            <w:tcW w:w="1436"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教育研究</w:t>
            </w:r>
          </w:p>
        </w:tc>
        <w:tc>
          <w:tcPr>
            <w:tcW w:w="518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东北大学硕士研究生权利保障机制研究</w:t>
            </w:r>
          </w:p>
        </w:tc>
        <w:tc>
          <w:tcPr>
            <w:tcW w:w="1131"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rPr>
                <w:rFonts w:ascii="宋体" w:hAnsi="宋体" w:cs="宋体"/>
                <w:color w:val="000000"/>
                <w:kern w:val="0"/>
                <w:sz w:val="24"/>
                <w:szCs w:val="24"/>
              </w:rPr>
            </w:pPr>
            <w:r>
              <w:rPr>
                <w:rFonts w:ascii="宋体" w:hAnsi="宋体" w:cs="宋体" w:hint="eastAsia"/>
                <w:color w:val="000000"/>
                <w:kern w:val="0"/>
                <w:sz w:val="24"/>
                <w:szCs w:val="24"/>
              </w:rPr>
              <w:t>张振芝</w:t>
            </w:r>
          </w:p>
        </w:tc>
        <w:tc>
          <w:tcPr>
            <w:tcW w:w="2662" w:type="dxa"/>
            <w:tcBorders>
              <w:top w:val="single" w:sz="4" w:space="0" w:color="auto"/>
              <w:left w:val="single" w:sz="4" w:space="0" w:color="auto"/>
              <w:bottom w:val="single" w:sz="4" w:space="0" w:color="auto"/>
              <w:right w:val="single" w:sz="4" w:space="0" w:color="auto"/>
            </w:tcBorders>
            <w:vAlign w:val="center"/>
          </w:tcPr>
          <w:p w:rsidR="00881734" w:rsidRDefault="00881734" w:rsidP="003B6B28">
            <w:pPr>
              <w:widowControl/>
              <w:jc w:val="left"/>
              <w:rPr>
                <w:rFonts w:ascii="宋体" w:hAnsi="宋体" w:cs="宋体"/>
                <w:color w:val="000000"/>
                <w:kern w:val="0"/>
                <w:sz w:val="24"/>
                <w:szCs w:val="24"/>
              </w:rPr>
            </w:pPr>
            <w:r>
              <w:rPr>
                <w:rFonts w:ascii="宋体" w:hAnsi="宋体" w:cs="宋体" w:hint="eastAsia"/>
                <w:color w:val="000000"/>
                <w:kern w:val="0"/>
                <w:sz w:val="24"/>
                <w:szCs w:val="24"/>
              </w:rPr>
              <w:t>马克思主义学院</w:t>
            </w:r>
          </w:p>
        </w:tc>
      </w:tr>
    </w:tbl>
    <w:p w:rsidR="00881734" w:rsidRDefault="00881734" w:rsidP="00881734">
      <w:pPr>
        <w:rPr>
          <w:rFonts w:ascii="仿宋_GB2312" w:eastAsia="仿宋_GB2312" w:hint="eastAsia"/>
          <w:sz w:val="32"/>
          <w:szCs w:val="32"/>
        </w:rPr>
      </w:pPr>
    </w:p>
    <w:p w:rsidR="00C94426" w:rsidRDefault="00C94426"/>
    <w:sectPr w:rsidR="00C94426">
      <w:headerReference w:type="even" r:id="rId4"/>
      <w:headerReference w:type="default" r:id="rId5"/>
      <w:footerReference w:type="even" r:id="rId6"/>
      <w:pgSz w:w="11906" w:h="16838"/>
      <w:pgMar w:top="1588" w:right="1474" w:bottom="1588" w:left="1588" w:header="851" w:footer="1418" w:gutter="0"/>
      <w:pgNumType w:fmt="numberInDash"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78" w:rsidRDefault="00A348F4">
    <w:pPr>
      <w:pStyle w:val="a4"/>
      <w:ind w:right="360"/>
      <w:rPr>
        <w:rFonts w:hint="eastAsi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78" w:rsidRDefault="00A348F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78" w:rsidRDefault="00A348F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1734"/>
    <w:rsid w:val="00881734"/>
    <w:rsid w:val="00A348F4"/>
    <w:rsid w:val="00C94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81734"/>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881734"/>
    <w:rPr>
      <w:rFonts w:ascii="Times New Roman" w:eastAsia="宋体" w:hAnsi="Times New Roman" w:cs="Times New Roman"/>
      <w:sz w:val="18"/>
      <w:szCs w:val="20"/>
    </w:rPr>
  </w:style>
  <w:style w:type="paragraph" w:styleId="a4">
    <w:name w:val="footer"/>
    <w:basedOn w:val="a"/>
    <w:link w:val="Char0"/>
    <w:rsid w:val="00881734"/>
    <w:pPr>
      <w:tabs>
        <w:tab w:val="center" w:pos="4153"/>
        <w:tab w:val="right" w:pos="8306"/>
      </w:tabs>
      <w:snapToGrid w:val="0"/>
      <w:jc w:val="left"/>
    </w:pPr>
    <w:rPr>
      <w:sz w:val="18"/>
    </w:rPr>
  </w:style>
  <w:style w:type="character" w:customStyle="1" w:styleId="Char0">
    <w:name w:val="页脚 Char"/>
    <w:basedOn w:val="a0"/>
    <w:link w:val="a4"/>
    <w:rsid w:val="00881734"/>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YY</cp:lastModifiedBy>
  <cp:revision>1</cp:revision>
  <dcterms:created xsi:type="dcterms:W3CDTF">2019-09-09T07:29:00Z</dcterms:created>
  <dcterms:modified xsi:type="dcterms:W3CDTF">2019-09-09T07:29:00Z</dcterms:modified>
</cp:coreProperties>
</file>